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8</w:t>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厦门市烟花爆竹零售店安全生产标准化评审标准（试行）</w:t>
      </w:r>
    </w:p>
    <w:p>
      <w:pPr>
        <w:spacing w:line="500" w:lineRule="exact"/>
        <w:ind w:left="-424" w:leftChars="-202" w:right="-357" w:rightChars="-170"/>
        <w:jc w:val="distribute"/>
        <w:rPr>
          <w:rFonts w:ascii="方正仿宋_GBK" w:hAnsi="方正仿宋_GBK"/>
          <w:sz w:val="28"/>
          <w:szCs w:val="28"/>
        </w:rPr>
      </w:pPr>
      <w:r>
        <w:rPr>
          <w:rFonts w:hint="eastAsia" w:ascii="方正仿宋_GBK" w:hAnsi="方正仿宋_GBK"/>
          <w:sz w:val="24"/>
          <w:szCs w:val="24"/>
          <w:lang w:eastAsia="zh-CN"/>
        </w:rPr>
        <w:t>　　</w:t>
      </w:r>
      <w:r>
        <w:rPr>
          <w:rFonts w:hint="eastAsia" w:ascii="方正仿宋_GBK" w:hAnsi="方正仿宋_GBK"/>
          <w:sz w:val="24"/>
          <w:szCs w:val="24"/>
        </w:rPr>
        <w:t>评审单位：</w:t>
      </w:r>
      <w:r>
        <w:rPr>
          <w:rFonts w:hint="eastAsia" w:ascii="方正仿宋_GBK" w:hAnsi="方正仿宋_GBK"/>
          <w:sz w:val="28"/>
          <w:szCs w:val="28"/>
        </w:rPr>
        <w:t xml:space="preserve">                                                                   </w:t>
      </w:r>
      <w:r>
        <w:rPr>
          <w:rFonts w:hint="eastAsia" w:ascii="方正仿宋_GBK" w:hAnsi="方正仿宋_GBK"/>
          <w:sz w:val="24"/>
          <w:szCs w:val="24"/>
        </w:rPr>
        <w:t>评审日期：    年  月  日</w:t>
      </w:r>
      <w:r>
        <w:rPr>
          <w:rFonts w:hint="eastAsia" w:ascii="方正仿宋_GBK" w:hAnsi="方正仿宋_GBK"/>
          <w:sz w:val="28"/>
          <w:szCs w:val="28"/>
        </w:rPr>
        <w:t xml:space="preserve">             </w:t>
      </w:r>
    </w:p>
    <w:tbl>
      <w:tblPr>
        <w:tblStyle w:val="10"/>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5103"/>
        <w:gridCol w:w="3119"/>
        <w:gridCol w:w="1134"/>
        <w:gridCol w:w="992"/>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评审要素</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评审内容</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评分办法</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sz w:val="21"/>
                <w:szCs w:val="21"/>
              </w:rPr>
              <w:t>应得分</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实得分</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不符合项数</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1.选址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实际经营地址是否与经营许可证一致。</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2.应选择在消防车辆可以顺畅到达的区域；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3.不应设置在军事管理区、文物保护区等禁止燃放烟花爆竹区域内；</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4.不应设置在居民集中居住小区内,以及桥下与涵洞内；</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5.不应与居住场所设置在同一建筑物内,不应设置在地下及半地下室内；</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6.不应设置在其地下、室内或上方有输送石油、天然气等易燃易爆物质管道的建筑物内；</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7.不应设置在电压高于1kV的电力线路下方。</w:t>
            </w:r>
          </w:p>
          <w:p>
            <w:pPr>
              <w:pStyle w:val="3"/>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asciiTheme="minorEastAsia" w:hAnsiTheme="minorEastAsia" w:eastAsiaTheme="minorEastAsia"/>
                <w:sz w:val="21"/>
                <w:szCs w:val="21"/>
              </w:rPr>
            </w:pPr>
            <w:r>
              <w:rPr>
                <w:rFonts w:hint="eastAsia" w:cs="宋体" w:asciiTheme="minorEastAsia" w:hAnsiTheme="minorEastAsia" w:eastAsiaTheme="minorEastAsia"/>
                <w:sz w:val="21"/>
                <w:szCs w:val="21"/>
              </w:rPr>
              <w:t>8.零售店的外部安全距离符合GB50016及AQ4128-2019中4.2的规定，外部最小允许距离自烟花爆竹零售场所外墙或与其他场所隔墙外侧算起。</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7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2.面积</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1.烟花爆竹零售店的使用面积不应小于10㎡,且不应大于200㎡。</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3.存放限量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烟花爆竹零售店允许存放的总药量，应符合AQ4128-2019中</w:t>
            </w:r>
            <w:r>
              <w:rPr>
                <w:rFonts w:cs="宋体" w:asciiTheme="minorEastAsia" w:hAnsiTheme="minorEastAsia" w:eastAsiaTheme="minorEastAsia"/>
                <w:sz w:val="21"/>
                <w:szCs w:val="21"/>
              </w:rPr>
              <w:t>5.2.2</w:t>
            </w:r>
            <w:r>
              <w:rPr>
                <w:rFonts w:hint="eastAsia" w:cs="宋体" w:asciiTheme="minorEastAsia" w:hAnsiTheme="minorEastAsia" w:eastAsiaTheme="minorEastAsia"/>
                <w:sz w:val="21"/>
                <w:szCs w:val="21"/>
              </w:rPr>
              <w:t>表2的规定，且不超过许可药量。</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查看经营现场，发现一处不符合，扣5分。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4.平面布置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1.当烟花爆竹零售店建筑物与其他场所联建时应符合如下要求:</w:t>
            </w:r>
            <w:r>
              <w:rPr>
                <w:rFonts w:hint="eastAsia" w:asciiTheme="minorEastAsia" w:hAnsiTheme="minorEastAsia" w:eastAsiaTheme="minorEastAsia"/>
                <w:sz w:val="21"/>
                <w:szCs w:val="21"/>
              </w:rPr>
              <w:br w:type="textWrapping"/>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1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零售场所与其他房间之间不应有楼梯或洞口相通；</w:t>
            </w:r>
            <w:r>
              <w:rPr>
                <w:rFonts w:hint="eastAsia" w:asciiTheme="minorEastAsia" w:hAnsiTheme="minorEastAsia" w:eastAsiaTheme="minorEastAsia"/>
                <w:sz w:val="21"/>
                <w:szCs w:val="21"/>
              </w:rPr>
              <w:br w:type="textWrapping"/>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2 \* GB3</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零售场所正上方房间不应作为营业场所,不应作为培训教室、会议室,不应有人员留宿。</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查看经营现场，发现一处不符合，扣5分，扣完为止。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2.不应将烟花爆竹零售场所作为其他生产、经营和生活等场所的进出通道。</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查看经营现场，发现一处不符合，扣5分，扣完为止。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3.烟花爆竹零售店采用临时建筑物时,应独立设置。</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查看经营现场，发现一处不符合，扣5分，扣完为止。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17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5.建筑结构</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1.建筑物耐火等级应符合GB50016的规定，且不低于三级；</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2.与其他建筑物联建时，隔墙厚度不小于180mm密实砖墙或耐火极限不低于3个小时的密实墙，隔墙上不设门窗洞口；</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3.安全出口，建筑面积小于100m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至少1个，大于100m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不少于2个；店内任意一点至安全出口的距离不应大于15</w:t>
            </w:r>
            <w:r>
              <w:rPr>
                <w:rFonts w:asciiTheme="minorEastAsia" w:hAnsiTheme="minorEastAsia" w:eastAsiaTheme="minorEastAsia"/>
                <w:sz w:val="21"/>
                <w:szCs w:val="21"/>
              </w:rPr>
              <w:t>m</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4.安全疏散门宜采用向外开启的平开门；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5.搬运烟花爆竹的进出门宽度不宜小于1.2m</w:t>
            </w:r>
            <w:r>
              <w:rPr>
                <w:rFonts w:asciiTheme="minorEastAsia" w:hAnsiTheme="minorEastAsia" w:eastAsiaTheme="minorEastAsia"/>
                <w:sz w:val="21"/>
                <w:szCs w:val="21"/>
              </w:rPr>
              <w:t>；</w:t>
            </w:r>
          </w:p>
          <w:p>
            <w:pPr>
              <w:pStyle w:val="3"/>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顾客进出的门宽不应小于</w:t>
            </w:r>
            <w:r>
              <w:rPr>
                <w:rFonts w:asciiTheme="minorEastAsia" w:hAnsiTheme="minorEastAsia" w:eastAsiaTheme="minorEastAsia"/>
                <w:sz w:val="21"/>
                <w:szCs w:val="21"/>
              </w:rPr>
              <w:t>1.5m</w:t>
            </w:r>
            <w:r>
              <w:rPr>
                <w:rFonts w:hint="eastAsia" w:asciiTheme="minorEastAsia" w:hAnsiTheme="minorEastAsia" w:eastAsiaTheme="minorEastAsia"/>
                <w:sz w:val="21"/>
                <w:szCs w:val="21"/>
              </w:rPr>
              <w:t>。</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17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6.电气安全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1.经营场所电气线路不应有明接头；</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2.电气线路穿管敷设</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线路接头处采用防护等级不低于IP54的接线盒；</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3.不应使用白炽灯、射灯等容易产生高温的灯具；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4.严禁私拉乱接电气线路；</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cs="宋体" w:asciiTheme="minorEastAsia" w:hAnsiTheme="minorEastAsia" w:eastAsiaTheme="minorEastAsia"/>
                <w:sz w:val="21"/>
                <w:szCs w:val="21"/>
              </w:rPr>
              <w:t>5.严禁使用国家明令淘汰的电气设备或产品。</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7.消防安全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1.烟花爆竹零售店内严禁有明火。</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2.不应采用产生明火和有强热辐射的采暖设备,且烟花爆竹与采暖设备的距离不应小于300 mm。</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3.烟花爆竹零售店周围25m范围内若有明火或散发火花地点,两者之间应有不燃材料实体隔挡。</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4.烟花爆竹零售店应配备5kg及以上的磷酸铵盐干粉灭火器,放置在便于取用位置。使用面积不大于100 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时,应至少配备2具；使用面积大于100 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时,应至少配备4具且分为2个设置点。</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8.经营行为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1.烟花爆竹零售店仅允许零售符合GB10631规定的个人燃放类产品,不得销售超标、违禁或者非法的烟花爆竹。</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查看经营现场，发现超范围经营，扣20分。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2.不应在许可证载明的场所外销售、存放烟花爆竹,不应在店外随意摆放烟花爆竹。</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3.不应在零售场所外30m范围内燃放爆竹等地面类产品,不应在零售场所外80m范围内燃放组合烟花等升空类产品。</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4.在零售场所醒目位置设置“严禁烟火”“易燃易爆”,以及周边设置“严禁燃放烟花爆竹”等安全警示标识。</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5.烟花爆竹的堆放应稳固,堆放高度不应超过2.0m。</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6.烟花爆竹不应与其他商品或杂物混合存放。</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cs="宋体" w:asciiTheme="minorEastAsia" w:hAnsiTheme="minorEastAsia" w:eastAsiaTheme="minorEastAsia"/>
                <w:sz w:val="21"/>
                <w:szCs w:val="21"/>
              </w:rPr>
            </w:pPr>
            <w:r>
              <w:rPr>
                <w:rFonts w:hint="eastAsia" w:asciiTheme="minorEastAsia" w:hAnsiTheme="minorEastAsia" w:eastAsiaTheme="minorEastAsia"/>
                <w:sz w:val="21"/>
                <w:szCs w:val="21"/>
              </w:rPr>
              <w:t>7.烟花爆竹存放应防水防潮。</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9.安全管理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（20分）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1.烟花爆竹零售店的负责人应依法参加安全教育培训并经考核合格。其他从业人员应经过相关安全知识教育培训。</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查负责人是否取得相关安全合格证书，并询问是否熟悉本单位安全管理要求，不熟悉扣2分。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2.应制定并张贴烟花爆竹零售经营安全责任制、安全管理制度和安全操作规程。</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asciiTheme="minorEastAsia" w:hAnsiTheme="minorEastAsia" w:eastAsiaTheme="minorEastAsia"/>
                <w:kern w:val="0"/>
                <w:sz w:val="21"/>
                <w:szCs w:val="21"/>
              </w:rPr>
              <w:t>制度是否上墙，未上墙每项扣1分，扣完为止。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3.安全责任制应包括负责人安全责任制和销售人员、看护人员安全责任制。</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asciiTheme="minorEastAsia" w:hAnsiTheme="minorEastAsia" w:eastAsiaTheme="minorEastAsia"/>
                <w:kern w:val="0"/>
                <w:sz w:val="21"/>
                <w:szCs w:val="21"/>
              </w:rPr>
              <w:t>制度是否上墙，未上墙每项扣1分，扣完为止。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4.安全管理制度应包括现场管理、安全检查、隐患整改、事故报告等制度。</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asciiTheme="minorEastAsia" w:hAnsiTheme="minorEastAsia" w:eastAsiaTheme="minorEastAsia"/>
                <w:kern w:val="0"/>
                <w:sz w:val="21"/>
                <w:szCs w:val="21"/>
              </w:rPr>
              <w:t>制度是否上墙，未上墙每项扣1分，扣完为止。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5.安全操作规程应包括烟花爆竹的查验、拆箱、搬运、堆码等安全要求。</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asciiTheme="minorEastAsia" w:hAnsiTheme="minorEastAsia" w:eastAsiaTheme="minorEastAsia"/>
                <w:kern w:val="0"/>
                <w:sz w:val="21"/>
                <w:szCs w:val="21"/>
              </w:rPr>
              <w:t>制度是否上墙，未上墙每项扣1分，扣完为止。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6.从业人员应严格执行安全管理制度和安全操作规程,妥善保管购销票据、产品配送单。</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查看档案，记录不全，每项不符合扣1分</w:t>
            </w:r>
            <w:r>
              <w:rPr>
                <w:rFonts w:hint="eastAsia" w:asciiTheme="minorEastAsia" w:hAnsiTheme="minorEastAsia" w:eastAsiaTheme="minorEastAsia"/>
                <w:kern w:val="0"/>
                <w:sz w:val="21"/>
                <w:szCs w:val="21"/>
              </w:rPr>
              <w:t>，扣完为止。</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7.应制定并张贴现场应急处置措施,在适当的醒目位置张贴应急联系电话信息。</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查看经营现场，发现一处不符合，扣1分。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8.应在醒目位置悬挂烟花爆竹零售经营者营业执照和烟花爆竹经营(零售)许可证。</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cs="宋体" w:asciiTheme="minorEastAsia" w:hAnsiTheme="minorEastAsia" w:eastAsiaTheme="minorEastAsia"/>
                <w:sz w:val="21"/>
                <w:szCs w:val="21"/>
              </w:rPr>
              <w:t>查看经营现场，未落实，终止评审。</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5103" w:type="dxa"/>
            <w:vAlign w:val="center"/>
          </w:tcPr>
          <w:p>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9.每日落实安全承诺公告。</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是否制作安全承诺公告牌，并每日进行承诺，承诺时间未及时更新或者存量与实际不符合的扣2分。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5103" w:type="dxa"/>
            <w:vAlign w:val="center"/>
          </w:tcPr>
          <w:p>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10.零售店日常要有专人值班。</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查看值班值守登记本，有一处未落实的扣1分。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5103" w:type="dxa"/>
            <w:vAlign w:val="center"/>
          </w:tcPr>
          <w:p>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11.定期开展隐患排查，并落实闭环管理。</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查看隐患排查治理记录，未定期开展或者隐患未闭环管理的扣2分。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07" w:leftChars="-51" w:right="-107" w:rightChars="-51"/>
              <w:jc w:val="center"/>
              <w:textAlignment w:val="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10.各区要求</w:t>
            </w:r>
          </w:p>
          <w:p>
            <w:pPr>
              <w:pStyle w:val="3"/>
              <w:keepNext w:val="0"/>
              <w:keepLines w:val="0"/>
              <w:pageBreakBefore w:val="0"/>
              <w:widowControl w:val="0"/>
              <w:kinsoku/>
              <w:wordWrap/>
              <w:overflowPunct/>
              <w:topLinePunct w:val="0"/>
              <w:autoSpaceDE/>
              <w:autoSpaceDN/>
              <w:bidi w:val="0"/>
              <w:adjustRightInd/>
              <w:snapToGrid/>
              <w:spacing w:line="340" w:lineRule="exact"/>
              <w:ind w:left="-106" w:leftChars="-51" w:right="-107" w:rightChars="-51" w:hanging="1" w:firstLineChars="0"/>
              <w:jc w:val="center"/>
              <w:textAlignment w:val="auto"/>
              <w:rPr>
                <w:rFonts w:asciiTheme="minorEastAsia" w:hAnsiTheme="minorEastAsia" w:eastAsiaTheme="minorEastAsia"/>
                <w:b/>
                <w:sz w:val="21"/>
                <w:szCs w:val="21"/>
                <w:shd w:val="pct10" w:color="auto" w:fill="FFFFFF"/>
              </w:rPr>
            </w:pPr>
            <w:r>
              <w:rPr>
                <w:rFonts w:hint="eastAsia" w:asciiTheme="minorEastAsia" w:hAnsiTheme="minorEastAsia" w:eastAsiaTheme="minorEastAsia"/>
                <w:b/>
                <w:sz w:val="21"/>
                <w:szCs w:val="21"/>
                <w:shd w:val="pct10" w:color="auto" w:fill="FFFFFF"/>
              </w:rPr>
              <w:t>加分项</w:t>
            </w:r>
          </w:p>
          <w:p>
            <w:pPr>
              <w:pStyle w:val="3"/>
              <w:keepNext w:val="0"/>
              <w:keepLines w:val="0"/>
              <w:pageBreakBefore w:val="0"/>
              <w:widowControl w:val="0"/>
              <w:kinsoku/>
              <w:wordWrap/>
              <w:overflowPunct/>
              <w:topLinePunct w:val="0"/>
              <w:autoSpaceDE/>
              <w:autoSpaceDN/>
              <w:bidi w:val="0"/>
              <w:adjustRightInd/>
              <w:snapToGrid/>
              <w:spacing w:line="340" w:lineRule="exact"/>
              <w:ind w:left="-106" w:leftChars="-51" w:right="-107" w:rightChars="-51" w:hanging="1"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b/>
                <w:sz w:val="21"/>
                <w:szCs w:val="21"/>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有开展房屋安全鉴定，结果符合要求。</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查看房屋安全鉴定报告，符合要求，则额外加3分。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有缴纳全员安全生产责任险。</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w:t>
            </w:r>
            <w:r>
              <w:rPr>
                <w:rFonts w:hint="eastAsia" w:asciiTheme="minorEastAsia" w:hAnsiTheme="minorEastAsia" w:eastAsiaTheme="minorEastAsia"/>
                <w:sz w:val="21"/>
                <w:szCs w:val="21"/>
              </w:rPr>
              <w:t>全员安全生产责任险缴交凭证</w:t>
            </w:r>
            <w:r>
              <w:rPr>
                <w:rFonts w:hint="eastAsia" w:cs="宋体" w:asciiTheme="minorEastAsia" w:hAnsiTheme="minorEastAsia" w:eastAsiaTheme="minorEastAsia"/>
                <w:sz w:val="21"/>
                <w:szCs w:val="21"/>
              </w:rPr>
              <w:t>，符合要求，则额外加1分。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其他要求：有按照区局要求开展双重预防机制建设等。</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查看</w:t>
            </w:r>
            <w:r>
              <w:rPr>
                <w:rFonts w:hint="eastAsia" w:asciiTheme="minorEastAsia" w:hAnsiTheme="minorEastAsia" w:eastAsiaTheme="minorEastAsia"/>
                <w:sz w:val="21"/>
                <w:szCs w:val="21"/>
              </w:rPr>
              <w:t>双重预防机制建设等资料，</w:t>
            </w:r>
            <w:r>
              <w:rPr>
                <w:rFonts w:hint="eastAsia" w:cs="宋体" w:asciiTheme="minorEastAsia" w:hAnsiTheme="minorEastAsia" w:eastAsiaTheme="minorEastAsia"/>
                <w:sz w:val="21"/>
                <w:szCs w:val="21"/>
              </w:rPr>
              <w:t>符合要求，则额外加1分。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Cs/>
                <w:sz w:val="21"/>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cs="宋体" w:asciiTheme="minorEastAsia" w:hAnsiTheme="minorEastAsia" w:eastAsiaTheme="minorEastAsia"/>
                <w:b/>
                <w:bCs/>
                <w:sz w:val="21"/>
                <w:szCs w:val="21"/>
              </w:rPr>
            </w:pPr>
          </w:p>
        </w:tc>
      </w:tr>
    </w:tbl>
    <w:p>
      <w:pPr>
        <w:ind w:left="-424" w:leftChars="-202" w:right="-357" w:rightChars="-170"/>
        <w:rPr>
          <w:rFonts w:ascii="宋体" w:hAnsi="宋体" w:cs="宋体"/>
          <w:sz w:val="18"/>
          <w:szCs w:val="18"/>
        </w:rPr>
      </w:pPr>
    </w:p>
    <w:p>
      <w:pPr>
        <w:ind w:left="-424" w:leftChars="-202" w:right="-357" w:rightChars="-170" w:firstLine="420" w:firstLineChars="200"/>
        <w:rPr>
          <w:rFonts w:ascii="宋体" w:hAnsi="宋体" w:cs="宋体"/>
          <w:szCs w:val="21"/>
        </w:rPr>
      </w:pPr>
      <w:r>
        <w:rPr>
          <w:rFonts w:hint="eastAsia" w:ascii="宋体" w:hAnsi="宋体" w:cs="宋体"/>
          <w:szCs w:val="21"/>
        </w:rPr>
        <w:t>备注：</w:t>
      </w:r>
    </w:p>
    <w:p>
      <w:pPr>
        <w:numPr>
          <w:ilvl w:val="0"/>
          <w:numId w:val="0"/>
        </w:numPr>
        <w:ind w:left="-4" w:leftChars="0" w:right="-357" w:rightChars="-170"/>
        <w:rPr>
          <w:rFonts w:hint="eastAsia" w:ascii="宋体" w:hAnsi="宋体" w:cs="宋体"/>
          <w:szCs w:val="21"/>
          <w:lang w:eastAsia="zh-CN"/>
        </w:rPr>
      </w:pPr>
      <w:r>
        <w:rPr>
          <w:rFonts w:hint="eastAsia" w:ascii="宋体" w:hAnsi="宋体" w:cs="宋体"/>
          <w:szCs w:val="21"/>
          <w:lang w:val="en-US" w:eastAsia="zh-CN"/>
        </w:rPr>
        <w:t>1.</w:t>
      </w:r>
      <w:bookmarkStart w:id="0" w:name="_GoBack"/>
      <w:r>
        <w:rPr>
          <w:rFonts w:hint="eastAsia" w:ascii="宋体" w:hAnsi="宋体" w:cs="宋体"/>
          <w:szCs w:val="21"/>
        </w:rPr>
        <w:t>本标准</w:t>
      </w:r>
      <w:bookmarkEnd w:id="0"/>
      <w:r>
        <w:rPr>
          <w:rFonts w:hint="eastAsia" w:ascii="宋体" w:hAnsi="宋体" w:cs="宋体"/>
          <w:szCs w:val="21"/>
        </w:rPr>
        <w:t>适用于应急管理部门核发</w:t>
      </w:r>
      <w:r>
        <w:rPr>
          <w:rFonts w:hint="eastAsia" w:ascii="宋体" w:hAnsi="宋体" w:cs="宋体"/>
          <w:szCs w:val="21"/>
          <w:lang w:eastAsia="zh-CN"/>
        </w:rPr>
        <w:t>烟花爆竹</w:t>
      </w:r>
      <w:r>
        <w:rPr>
          <w:rFonts w:hint="eastAsia" w:ascii="宋体" w:hAnsi="宋体" w:cs="宋体"/>
          <w:szCs w:val="21"/>
        </w:rPr>
        <w:t>经营</w:t>
      </w:r>
      <w:r>
        <w:rPr>
          <w:rFonts w:hint="eastAsia" w:ascii="宋体" w:hAnsi="宋体" w:cs="宋体"/>
          <w:szCs w:val="21"/>
          <w:lang w:eastAsia="zh-CN"/>
        </w:rPr>
        <w:t>（零售）</w:t>
      </w:r>
      <w:r>
        <w:rPr>
          <w:rFonts w:hint="eastAsia" w:ascii="宋体" w:hAnsi="宋体" w:cs="宋体"/>
          <w:szCs w:val="21"/>
        </w:rPr>
        <w:t>许可证的企业</w:t>
      </w:r>
      <w:r>
        <w:rPr>
          <w:rFonts w:hint="eastAsia" w:ascii="宋体" w:hAnsi="宋体" w:cs="宋体"/>
          <w:szCs w:val="21"/>
          <w:lang w:eastAsia="zh-CN"/>
        </w:rPr>
        <w:t>。</w:t>
      </w:r>
    </w:p>
    <w:p>
      <w:pPr>
        <w:numPr>
          <w:ilvl w:val="0"/>
          <w:numId w:val="0"/>
        </w:numPr>
        <w:ind w:left="-4" w:leftChars="0" w:right="-357" w:rightChars="-17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得分（百分制）=实际得分÷（100－不参与检查内容分数之和）×100。最后得分采用四舍五入，取小数点后一位数。</w:t>
      </w:r>
    </w:p>
    <w:p>
      <w:pPr>
        <w:numPr>
          <w:ilvl w:val="0"/>
          <w:numId w:val="0"/>
        </w:numPr>
        <w:ind w:left="-4" w:leftChars="0" w:right="-357" w:rightChars="-170"/>
      </w:pPr>
      <w:r>
        <w:rPr>
          <w:rFonts w:hint="eastAsia" w:ascii="宋体" w:hAnsi="宋体" w:cs="宋体"/>
          <w:szCs w:val="21"/>
          <w:lang w:val="en-US" w:eastAsia="zh-CN"/>
        </w:rPr>
        <w:t>3.</w:t>
      </w:r>
      <w:r>
        <w:rPr>
          <w:rFonts w:hint="eastAsia" w:ascii="宋体" w:hAnsi="宋体" w:cs="宋体"/>
          <w:szCs w:val="21"/>
        </w:rPr>
        <w:t>按照本标准评审得分80分（含）以上为合格；若否决项</w:t>
      </w:r>
      <w:r>
        <w:rPr>
          <w:rFonts w:hint="eastAsia" w:ascii="宋体" w:hAnsi="宋体" w:cs="宋体"/>
          <w:szCs w:val="21"/>
          <w:lang w:eastAsia="zh-CN"/>
        </w:rPr>
        <w:t>不得分</w:t>
      </w:r>
      <w:r>
        <w:rPr>
          <w:rFonts w:hint="eastAsia" w:ascii="宋体" w:hAnsi="宋体" w:cs="宋体"/>
          <w:szCs w:val="21"/>
        </w:rPr>
        <w:t>，</w:t>
      </w:r>
      <w:r>
        <w:rPr>
          <w:rFonts w:hint="eastAsia" w:ascii="宋体" w:hAnsi="宋体" w:cs="宋体"/>
          <w:szCs w:val="21"/>
          <w:lang w:eastAsia="zh-CN"/>
        </w:rPr>
        <w:t>直接</w:t>
      </w:r>
      <w:r>
        <w:rPr>
          <w:rFonts w:hint="eastAsia" w:ascii="宋体" w:hAnsi="宋体" w:cs="宋体"/>
          <w:szCs w:val="21"/>
        </w:rPr>
        <w:t>判定为</w:t>
      </w:r>
      <w:r>
        <w:rPr>
          <w:rFonts w:hint="eastAsia" w:ascii="宋体" w:hAnsi="宋体" w:cs="宋体"/>
          <w:szCs w:val="21"/>
          <w:lang w:eastAsia="zh-CN"/>
        </w:rPr>
        <w:t>评审</w:t>
      </w:r>
      <w:r>
        <w:rPr>
          <w:rFonts w:hint="eastAsia" w:ascii="宋体" w:hAnsi="宋体" w:cs="宋体"/>
          <w:szCs w:val="21"/>
        </w:rPr>
        <w:t>不合格，评审流程终止。</w:t>
      </w:r>
    </w:p>
    <w:p>
      <w:pPr>
        <w:ind w:left="-424" w:leftChars="-202" w:right="-357" w:rightChars="-170"/>
        <w:rPr>
          <w:rFonts w:ascii="宋体" w:hAnsi="宋体" w:cs="宋体"/>
          <w:sz w:val="32"/>
          <w:szCs w:val="32"/>
        </w:rPr>
      </w:pPr>
    </w:p>
    <w:p>
      <w:pPr>
        <w:ind w:left="-424" w:leftChars="-202" w:right="-357" w:rightChars="-170"/>
        <w:rPr>
          <w:rFonts w:ascii="Arial" w:hAnsi="Arial" w:cs="Arial"/>
          <w:kern w:val="0"/>
          <w:sz w:val="28"/>
          <w:szCs w:val="28"/>
        </w:rPr>
      </w:pPr>
      <w:r>
        <w:rPr>
          <w:rFonts w:hint="eastAsia" w:ascii="宋体" w:hAnsi="宋体" w:cs="宋体"/>
          <w:sz w:val="32"/>
          <w:szCs w:val="32"/>
        </w:rPr>
        <w:t>评审人员（签字）：                               受审单位（签章）：</w:t>
      </w:r>
    </w:p>
    <w:sectPr>
      <w:footerReference r:id="rId3" w:type="default"/>
      <w:pgSz w:w="16838" w:h="11906" w:orient="landscape"/>
      <w:pgMar w:top="1135"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246006"/>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5421"/>
    <w:rsid w:val="000165C3"/>
    <w:rsid w:val="000352E3"/>
    <w:rsid w:val="00062D7C"/>
    <w:rsid w:val="00097414"/>
    <w:rsid w:val="000A238D"/>
    <w:rsid w:val="000A3436"/>
    <w:rsid w:val="000A3E6E"/>
    <w:rsid w:val="000A5BA3"/>
    <w:rsid w:val="000B2C2F"/>
    <w:rsid w:val="001457BA"/>
    <w:rsid w:val="00186674"/>
    <w:rsid w:val="001971FB"/>
    <w:rsid w:val="001A58A9"/>
    <w:rsid w:val="001A5B2A"/>
    <w:rsid w:val="001A6BFA"/>
    <w:rsid w:val="001D5F68"/>
    <w:rsid w:val="00201ED6"/>
    <w:rsid w:val="0023073C"/>
    <w:rsid w:val="002338F3"/>
    <w:rsid w:val="00234BC3"/>
    <w:rsid w:val="0025100A"/>
    <w:rsid w:val="00261BBA"/>
    <w:rsid w:val="002E13C8"/>
    <w:rsid w:val="002E2601"/>
    <w:rsid w:val="002E5C24"/>
    <w:rsid w:val="002F5699"/>
    <w:rsid w:val="003048D0"/>
    <w:rsid w:val="00350AD6"/>
    <w:rsid w:val="00352386"/>
    <w:rsid w:val="0036785C"/>
    <w:rsid w:val="003824B8"/>
    <w:rsid w:val="003A1538"/>
    <w:rsid w:val="00441C0F"/>
    <w:rsid w:val="00445675"/>
    <w:rsid w:val="0045756C"/>
    <w:rsid w:val="004A5DAE"/>
    <w:rsid w:val="00513370"/>
    <w:rsid w:val="005136C4"/>
    <w:rsid w:val="00514B02"/>
    <w:rsid w:val="005314E5"/>
    <w:rsid w:val="005757CC"/>
    <w:rsid w:val="005939B3"/>
    <w:rsid w:val="005D56A4"/>
    <w:rsid w:val="005E3B74"/>
    <w:rsid w:val="00607D27"/>
    <w:rsid w:val="00621D5A"/>
    <w:rsid w:val="00631335"/>
    <w:rsid w:val="00657F24"/>
    <w:rsid w:val="00664B2D"/>
    <w:rsid w:val="006A7B42"/>
    <w:rsid w:val="006C11F7"/>
    <w:rsid w:val="0071454A"/>
    <w:rsid w:val="00735981"/>
    <w:rsid w:val="00735AF8"/>
    <w:rsid w:val="00747B71"/>
    <w:rsid w:val="007B00B0"/>
    <w:rsid w:val="007B1EBA"/>
    <w:rsid w:val="007C2797"/>
    <w:rsid w:val="00802112"/>
    <w:rsid w:val="008177C0"/>
    <w:rsid w:val="00854012"/>
    <w:rsid w:val="00882277"/>
    <w:rsid w:val="00892BE9"/>
    <w:rsid w:val="008A6BBE"/>
    <w:rsid w:val="008B3799"/>
    <w:rsid w:val="008D3B53"/>
    <w:rsid w:val="008E257C"/>
    <w:rsid w:val="008E5575"/>
    <w:rsid w:val="009013A8"/>
    <w:rsid w:val="009024F5"/>
    <w:rsid w:val="0091002D"/>
    <w:rsid w:val="00912981"/>
    <w:rsid w:val="00931A1F"/>
    <w:rsid w:val="00932B94"/>
    <w:rsid w:val="00962452"/>
    <w:rsid w:val="00965027"/>
    <w:rsid w:val="009739AF"/>
    <w:rsid w:val="0098683F"/>
    <w:rsid w:val="00995421"/>
    <w:rsid w:val="009B2BD7"/>
    <w:rsid w:val="009B7099"/>
    <w:rsid w:val="009F20BF"/>
    <w:rsid w:val="009F6A95"/>
    <w:rsid w:val="00A077D9"/>
    <w:rsid w:val="00A16437"/>
    <w:rsid w:val="00A4095C"/>
    <w:rsid w:val="00A410C8"/>
    <w:rsid w:val="00A45764"/>
    <w:rsid w:val="00A52050"/>
    <w:rsid w:val="00A53688"/>
    <w:rsid w:val="00A573F5"/>
    <w:rsid w:val="00A607BC"/>
    <w:rsid w:val="00A618F8"/>
    <w:rsid w:val="00A74183"/>
    <w:rsid w:val="00A81AB9"/>
    <w:rsid w:val="00A835E5"/>
    <w:rsid w:val="00A92A3A"/>
    <w:rsid w:val="00AD2FCD"/>
    <w:rsid w:val="00B038F2"/>
    <w:rsid w:val="00B2141B"/>
    <w:rsid w:val="00B24328"/>
    <w:rsid w:val="00B319A6"/>
    <w:rsid w:val="00B97CC3"/>
    <w:rsid w:val="00BC5F1D"/>
    <w:rsid w:val="00BF3DC7"/>
    <w:rsid w:val="00BF7180"/>
    <w:rsid w:val="00BF71E2"/>
    <w:rsid w:val="00C12D7D"/>
    <w:rsid w:val="00C212F7"/>
    <w:rsid w:val="00C27541"/>
    <w:rsid w:val="00C52CD5"/>
    <w:rsid w:val="00CA4556"/>
    <w:rsid w:val="00CB3EE5"/>
    <w:rsid w:val="00CC6B14"/>
    <w:rsid w:val="00CF0552"/>
    <w:rsid w:val="00CF7768"/>
    <w:rsid w:val="00D00964"/>
    <w:rsid w:val="00D262F1"/>
    <w:rsid w:val="00D30A36"/>
    <w:rsid w:val="00D3128C"/>
    <w:rsid w:val="00D44B8A"/>
    <w:rsid w:val="00D5025C"/>
    <w:rsid w:val="00D50E49"/>
    <w:rsid w:val="00D710CF"/>
    <w:rsid w:val="00DC308E"/>
    <w:rsid w:val="00E11027"/>
    <w:rsid w:val="00E5774A"/>
    <w:rsid w:val="00E707BF"/>
    <w:rsid w:val="00E8036B"/>
    <w:rsid w:val="00EA679D"/>
    <w:rsid w:val="00ED74A1"/>
    <w:rsid w:val="00F12AD4"/>
    <w:rsid w:val="00F15E99"/>
    <w:rsid w:val="00F166F3"/>
    <w:rsid w:val="00F2748A"/>
    <w:rsid w:val="00F36FBB"/>
    <w:rsid w:val="00FA164C"/>
    <w:rsid w:val="00FB714E"/>
    <w:rsid w:val="020D33F7"/>
    <w:rsid w:val="04D326A7"/>
    <w:rsid w:val="05613B8D"/>
    <w:rsid w:val="059608E2"/>
    <w:rsid w:val="078A2BA8"/>
    <w:rsid w:val="0CBF0EC2"/>
    <w:rsid w:val="0F3200AA"/>
    <w:rsid w:val="1537743B"/>
    <w:rsid w:val="1BD7148B"/>
    <w:rsid w:val="222C6097"/>
    <w:rsid w:val="281E61B0"/>
    <w:rsid w:val="2A1246FC"/>
    <w:rsid w:val="31A752E1"/>
    <w:rsid w:val="33A6549F"/>
    <w:rsid w:val="383A7E28"/>
    <w:rsid w:val="3A3B047F"/>
    <w:rsid w:val="3C6F7CA2"/>
    <w:rsid w:val="3F611DFA"/>
    <w:rsid w:val="3F9E7354"/>
    <w:rsid w:val="4E6D0720"/>
    <w:rsid w:val="523E7145"/>
    <w:rsid w:val="538A563D"/>
    <w:rsid w:val="57BF8DC8"/>
    <w:rsid w:val="58CF12A9"/>
    <w:rsid w:val="59B63F00"/>
    <w:rsid w:val="5F646398"/>
    <w:rsid w:val="601A2872"/>
    <w:rsid w:val="604B4356"/>
    <w:rsid w:val="63094332"/>
    <w:rsid w:val="65952B66"/>
    <w:rsid w:val="6AB632F0"/>
    <w:rsid w:val="6B432CC7"/>
    <w:rsid w:val="6D7E3A16"/>
    <w:rsid w:val="76AF2F6D"/>
    <w:rsid w:val="782A59E9"/>
    <w:rsid w:val="79A27738"/>
    <w:rsid w:val="7BAEB6B5"/>
    <w:rsid w:val="7C5B6C32"/>
    <w:rsid w:val="7ECBA41D"/>
    <w:rsid w:val="7F926881"/>
    <w:rsid w:val="7FD77485"/>
    <w:rsid w:val="7FE7C1FA"/>
    <w:rsid w:val="B99B2EA0"/>
    <w:rsid w:val="D85F587C"/>
    <w:rsid w:val="DBFF23B3"/>
    <w:rsid w:val="DEEF8275"/>
    <w:rsid w:val="E83626C1"/>
    <w:rsid w:val="EEF569D2"/>
    <w:rsid w:val="EF1E917A"/>
    <w:rsid w:val="F5B723C8"/>
    <w:rsid w:val="FBAF5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
    <w:unhideWhenUsed/>
    <w:qFormat/>
    <w:uiPriority w:val="99"/>
    <w:pPr>
      <w:spacing w:after="120" w:line="240" w:lineRule="auto"/>
      <w:ind w:firstLine="420" w:firstLineChars="100"/>
    </w:pPr>
    <w:rPr>
      <w:rFonts w:ascii="Times New Roman" w:hAnsi="Times New Roman" w:eastAsia="仿宋_GB2312"/>
      <w:sz w:val="32"/>
      <w:szCs w:val="32"/>
    </w:rPr>
  </w:style>
  <w:style w:type="paragraph" w:styleId="3">
    <w:name w:val="Body Text"/>
    <w:basedOn w:val="1"/>
    <w:link w:val="19"/>
    <w:unhideWhenUsed/>
    <w:qFormat/>
    <w:uiPriority w:val="99"/>
    <w:pPr>
      <w:spacing w:line="360" w:lineRule="auto"/>
      <w:ind w:firstLine="1281" w:firstLineChars="200"/>
    </w:pPr>
    <w:rPr>
      <w:sz w:val="24"/>
    </w:rPr>
  </w:style>
  <w:style w:type="paragraph" w:styleId="4">
    <w:name w:val="annotation text"/>
    <w:basedOn w:val="1"/>
    <w:semiHidden/>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semiHidden/>
    <w:qFormat/>
    <w:uiPriority w:val="99"/>
    <w:rPr>
      <w:kern w:val="2"/>
      <w:sz w:val="18"/>
      <w:szCs w:val="18"/>
    </w:rPr>
  </w:style>
  <w:style w:type="character" w:customStyle="1" w:styleId="15">
    <w:name w:val="页脚 Char"/>
    <w:basedOn w:val="11"/>
    <w:link w:val="6"/>
    <w:qFormat/>
    <w:uiPriority w:val="99"/>
    <w:rPr>
      <w:kern w:val="2"/>
      <w:sz w:val="18"/>
      <w:szCs w:val="18"/>
    </w:rPr>
  </w:style>
  <w:style w:type="character" w:customStyle="1" w:styleId="16">
    <w:name w:val="批注框文本 Char"/>
    <w:basedOn w:val="11"/>
    <w:link w:val="5"/>
    <w:semiHidden/>
    <w:qFormat/>
    <w:uiPriority w:val="99"/>
    <w:rPr>
      <w:kern w:val="2"/>
      <w:sz w:val="18"/>
      <w:szCs w:val="18"/>
    </w:rPr>
  </w:style>
  <w:style w:type="paragraph" w:customStyle="1" w:styleId="17">
    <w:name w:val="列出段落1"/>
    <w:basedOn w:val="1"/>
    <w:qFormat/>
    <w:uiPriority w:val="34"/>
    <w:pPr>
      <w:ind w:firstLine="420" w:firstLineChars="200"/>
    </w:pPr>
  </w:style>
  <w:style w:type="table" w:customStyle="1" w:styleId="18">
    <w:name w:val="Grid Table 1 Light Accent 5"/>
    <w:basedOn w:val="9"/>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character" w:customStyle="1" w:styleId="19">
    <w:name w:val="正文文本 Char"/>
    <w:basedOn w:val="11"/>
    <w:link w:val="3"/>
    <w:qFormat/>
    <w:uiPriority w:val="99"/>
    <w:rPr>
      <w:rFonts w:ascii="Calibri" w:hAnsi="Calibri"/>
      <w:kern w:val="2"/>
      <w:sz w:val="24"/>
      <w:szCs w:val="22"/>
    </w:rPr>
  </w:style>
  <w:style w:type="character" w:customStyle="1" w:styleId="20">
    <w:name w:val="正文首行缩进 Char"/>
    <w:basedOn w:val="19"/>
    <w:link w:val="2"/>
    <w:qFormat/>
    <w:uiPriority w:val="99"/>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476</Words>
  <Characters>2715</Characters>
  <Lines>22</Lines>
  <Paragraphs>6</Paragraphs>
  <TotalTime>8</TotalTime>
  <ScaleCrop>false</ScaleCrop>
  <LinksUpToDate>false</LinksUpToDate>
  <CharactersWithSpaces>3185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2024-10-12T11:03:00Z</dcterms:created>
  <dc:creator>Administrator</dc:creator>
  <cp:lastModifiedBy>xmadmin</cp:lastModifiedBy>
  <cp:lastPrinted>2025-04-08T09:23:00Z</cp:lastPrinted>
  <dcterms:modified xsi:type="dcterms:W3CDTF">2025-04-30T11:32:59Z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TemplateDocerSaveRecord">
    <vt:lpwstr>eyJoZGlkIjoiMDljYzUzMWQ4OWI0YzBkYjYzMDRhZTY5ZjZkYmFmYTgiLCJ1c2VySWQiOiIzOTcxNjUwMzkifQ==</vt:lpwstr>
  </property>
  <property fmtid="{D5CDD505-2E9C-101B-9397-08002B2CF9AE}" pid="4" name="ICV">
    <vt:lpwstr>F91171A6478A4A02BA6115B02B45D118_12</vt:lpwstr>
  </property>
</Properties>
</file>